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9" w:rsidRDefault="00430B29" w:rsidP="00430B2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</w:pPr>
    </w:p>
    <w:p w:rsidR="00430B29" w:rsidRPr="00430B29" w:rsidRDefault="00430B29" w:rsidP="00430B2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</w:pPr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Studia Europejskie – </w:t>
      </w:r>
      <w:proofErr w:type="spellStart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>Studies</w:t>
      </w:r>
      <w:proofErr w:type="spellEnd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 in </w:t>
      </w:r>
      <w:proofErr w:type="spellStart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>Affairs</w:t>
      </w:r>
      <w:proofErr w:type="spellEnd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 4/2019</w:t>
      </w:r>
    </w:p>
    <w:p w:rsidR="00430B29" w:rsidRPr="00430B29" w:rsidRDefault="00430B29" w:rsidP="00430B29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</w:pPr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The EU in the </w:t>
      </w:r>
      <w:proofErr w:type="spellStart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>aftermath</w:t>
      </w:r>
      <w:proofErr w:type="spellEnd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 of the EP </w:t>
      </w:r>
      <w:proofErr w:type="spellStart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>Elections</w:t>
      </w:r>
      <w:proofErr w:type="spellEnd"/>
      <w:r w:rsidRPr="00430B29">
        <w:rPr>
          <w:rFonts w:ascii="Times New Roman" w:eastAsia="Times New Roman" w:hAnsi="Times New Roman" w:cs="Times New Roman"/>
          <w:b/>
          <w:sz w:val="32"/>
          <w:szCs w:val="41"/>
          <w:lang w:eastAsia="pl-PL"/>
        </w:rPr>
        <w:t xml:space="preserve"> 2019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Editors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: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Drs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Anna 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Visvizi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(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Deree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-The American College of Greece)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Cristina 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Matiuta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(University of Oradea, Romania)</w:t>
      </w:r>
    </w:p>
    <w:p w:rsid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Artur Adamczyk (University of 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Warsaw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, Poland)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The 2014-2019 term of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Parliament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unfolded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a period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substantial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change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EU’s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external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domestic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environments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had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address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implications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both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global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financial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crisis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the euro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area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crisis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their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implications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the form of EU-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wide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recession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political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fragmentation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In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this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context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migration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refugee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crises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had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further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aggravated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already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tense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situation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while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annexation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Crimea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debate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on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sanctions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against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Russia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had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almost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led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a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split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among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member-states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outcomes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June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2016 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Brexit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referendum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seemingly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confirmed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fears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expressed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by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many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disintegration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was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feasible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early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days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Trump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were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filled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will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great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uncertainty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as to 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future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Transatlantic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collaboration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including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Allies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’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roles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very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future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NATO. As a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result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deep-rooted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debate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on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defense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capacity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was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revived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this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time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bearing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substantiated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hopes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From a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different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angle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as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China’s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role in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global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economy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so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as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efficiency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China’s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economic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diplomacy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have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become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increasingly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tangible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the EU,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voices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were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raised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more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coordination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dealing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with China was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needed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Domestically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across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member-states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multiple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overlapping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crises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member-states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were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exposed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over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past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decade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left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large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parts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societies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confused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disenchanted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therefore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more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susceptible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populism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Start w:id="0" w:name="_GoBack"/>
      <w:bookmarkEnd w:id="0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demagogy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voices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contesting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value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integration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project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In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this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context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fears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concerns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beset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May 2019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elections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Parliament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The 2</w:t>
      </w:r>
      <w:r w:rsidRPr="00430B29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vertAlign w:val="superscript"/>
          <w:lang w:eastAsia="pl-PL"/>
        </w:rPr>
        <w:t>nd</w:t>
      </w: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highest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since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1979,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turnout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elections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Parliament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(EP)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suggests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nevertheless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idea and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ideals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underpinning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integration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still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valid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relevant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voters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across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EU.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political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scene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as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distribution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seats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newly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elected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EP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suggests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fragmented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though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Considering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external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domestic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challenges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facing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fragmentation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EP,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along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with the party dynamics’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implications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indicate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2019-2024 term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will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demanding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What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key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challenges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EU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so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key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level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actors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including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EP,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Commission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Council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Council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will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have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face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over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next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years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? How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will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impact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their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collaboration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efficiency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overall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? How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will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translate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relations with 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member-states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? How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will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reflected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on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EU’s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position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influence in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external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environment?  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Guest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Editors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journal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invite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incisive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conceptually-sound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papers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address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but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not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limited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to,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following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topics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issues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The 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institutions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following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May 2019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elections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the EP;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Domestic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EU-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level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party dynamics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following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the May 2019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elections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the EP;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Scenarios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for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integration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safety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security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issues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challenges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responses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Economic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collaboration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issues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including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trade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wars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functioning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WTO),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challenges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responses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The 2021-2027 Multi-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annual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Financial Framework (MFF):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hopes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prospects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challenges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future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enlargement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policy;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The euro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area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its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future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identity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issues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challenges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responses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EU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citizenship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relevance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strategies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, country-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specific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differentiation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Non-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institutionalized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collaboration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 the EU;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EU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other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regional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integration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schemes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inroads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sophisticated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technology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and 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functioning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 the EU;</w:t>
      </w:r>
    </w:p>
    <w:p w:rsidR="00430B29" w:rsidRPr="00430B29" w:rsidRDefault="00430B29" w:rsidP="00430B29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Understanding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conceptualizing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and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explaining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European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integration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Papers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’ 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submission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: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Prospective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authors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are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requested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submit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their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papers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to the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Editors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at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hyperlink r:id="rId6" w:history="1">
        <w:r w:rsidRPr="00430B29">
          <w:rPr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eastAsia="pl-PL"/>
          </w:rPr>
          <w:t>wydawnictwoce@uw.edu.pl</w:t>
        </w:r>
      </w:hyperlink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Formatting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requirements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available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at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: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  <w:hyperlink r:id="rId7" w:history="1">
        <w:r w:rsidRPr="00430B29">
          <w:rPr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eastAsia="pl-PL"/>
          </w:rPr>
          <w:t>https://www.ce.uw.edu.pl/wp-content/uploads/2019/02/guidelines-for-authors.pdf</w:t>
        </w:r>
      </w:hyperlink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Timeline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: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Submission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deadline: </w:t>
      </w:r>
      <w:proofErr w:type="spellStart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September</w:t>
      </w:r>
      <w:proofErr w:type="spellEnd"/>
      <w:r w:rsidRPr="00430B29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20, 2019                           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Review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: by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October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10, 2019;</w:t>
      </w:r>
    </w:p>
    <w:p w:rsidR="00430B29" w:rsidRPr="00430B29" w:rsidRDefault="00430B29" w:rsidP="00430B2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Publication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: by </w:t>
      </w:r>
      <w:proofErr w:type="spellStart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>December</w:t>
      </w:r>
      <w:proofErr w:type="spellEnd"/>
      <w:r w:rsidRPr="00430B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15, 2019;</w:t>
      </w:r>
    </w:p>
    <w:p w:rsidR="006B36E1" w:rsidRPr="00430B29" w:rsidRDefault="006B36E1" w:rsidP="00430B29">
      <w:pPr>
        <w:spacing w:after="120" w:line="240" w:lineRule="auto"/>
        <w:rPr>
          <w:rFonts w:ascii="Times New Roman" w:hAnsi="Times New Roman" w:cs="Times New Roman"/>
        </w:rPr>
      </w:pPr>
    </w:p>
    <w:sectPr w:rsidR="006B36E1" w:rsidRPr="0043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618A"/>
    <w:multiLevelType w:val="multilevel"/>
    <w:tmpl w:val="8222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9"/>
    <w:rsid w:val="00430B29"/>
    <w:rsid w:val="006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0B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0B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.uw.edu.pl/wp-content/uploads/2019/02/guidelines-for-auth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dawnictwoce@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Bartuszek</dc:creator>
  <cp:lastModifiedBy>Przemysław Bartuszek</cp:lastModifiedBy>
  <cp:revision>1</cp:revision>
  <dcterms:created xsi:type="dcterms:W3CDTF">2019-11-06T10:46:00Z</dcterms:created>
  <dcterms:modified xsi:type="dcterms:W3CDTF">2019-11-06T10:47:00Z</dcterms:modified>
</cp:coreProperties>
</file>